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AD" w:rsidRDefault="003B0BAD" w:rsidP="003B0BAD">
      <w:pPr>
        <w:autoSpaceDE w:val="0"/>
        <w:autoSpaceDN w:val="0"/>
        <w:adjustRightInd w:val="0"/>
        <w:jc w:val="center"/>
        <w:outlineLvl w:val="0"/>
        <w:rPr>
          <w:rFonts w:ascii="Verdana" w:hAnsi="Verdana"/>
          <w:b/>
          <w:u w:val="single"/>
          <w:lang w:val="es-MX"/>
        </w:rPr>
      </w:pPr>
      <w:r>
        <w:rPr>
          <w:rFonts w:ascii="Verdana" w:hAnsi="Verdana"/>
          <w:b/>
          <w:u w:val="single"/>
          <w:lang w:val="es-MX"/>
        </w:rPr>
        <w:t>ANEXO 1</w:t>
      </w:r>
    </w:p>
    <w:p w:rsidR="003B0BAD" w:rsidRDefault="003B0BAD" w:rsidP="003B0BAD">
      <w:pPr>
        <w:autoSpaceDE w:val="0"/>
        <w:autoSpaceDN w:val="0"/>
        <w:adjustRightInd w:val="0"/>
        <w:outlineLvl w:val="0"/>
        <w:rPr>
          <w:rFonts w:ascii="Verdana" w:hAnsi="Verdana"/>
          <w:u w:val="single"/>
          <w:lang w:val="es-MX"/>
        </w:rPr>
      </w:pPr>
    </w:p>
    <w:p w:rsidR="003B0BAD" w:rsidRDefault="003B0BAD" w:rsidP="003B0BAD">
      <w:pPr>
        <w:autoSpaceDE w:val="0"/>
        <w:autoSpaceDN w:val="0"/>
        <w:adjustRightInd w:val="0"/>
        <w:jc w:val="center"/>
        <w:outlineLvl w:val="0"/>
        <w:rPr>
          <w:rFonts w:ascii="Verdana" w:hAnsi="Verdana"/>
          <w:lang w:val="es-MX"/>
        </w:rPr>
      </w:pPr>
      <w:r>
        <w:rPr>
          <w:rFonts w:ascii="Verdana" w:hAnsi="Verdana"/>
          <w:lang w:val="es-MX"/>
        </w:rPr>
        <w:t>DATOS DE EXPORTACIÓN DE CARNES BOVINA Y AVIAR 1980-2012</w:t>
      </w:r>
    </w:p>
    <w:p w:rsidR="003B0BAD" w:rsidRDefault="003B0BAD" w:rsidP="003B0BAD">
      <w:pPr>
        <w:autoSpaceDE w:val="0"/>
        <w:autoSpaceDN w:val="0"/>
        <w:adjustRightInd w:val="0"/>
        <w:jc w:val="center"/>
        <w:outlineLvl w:val="0"/>
        <w:rPr>
          <w:rFonts w:ascii="Verdana" w:hAnsi="Verdana"/>
          <w:u w:val="single"/>
          <w:lang w:val="es-MX"/>
        </w:rPr>
      </w:pPr>
    </w:p>
    <w:p w:rsidR="003B0BAD" w:rsidRDefault="003B0BAD" w:rsidP="003B0BAD">
      <w:pPr>
        <w:autoSpaceDE w:val="0"/>
        <w:autoSpaceDN w:val="0"/>
        <w:adjustRightInd w:val="0"/>
        <w:spacing w:line="360" w:lineRule="auto"/>
        <w:jc w:val="both"/>
        <w:rPr>
          <w:rFonts w:ascii="Verdana" w:hAnsi="Verdana"/>
          <w:lang w:val="es-MX"/>
        </w:rPr>
      </w:pPr>
    </w:p>
    <w:p w:rsidR="003B0BAD" w:rsidRDefault="003B0BAD" w:rsidP="003B0BAD">
      <w:pPr>
        <w:autoSpaceDE w:val="0"/>
        <w:autoSpaceDN w:val="0"/>
        <w:adjustRightInd w:val="0"/>
        <w:spacing w:line="360" w:lineRule="auto"/>
        <w:jc w:val="both"/>
        <w:rPr>
          <w:rFonts w:ascii="Verdana" w:hAnsi="Verdana"/>
          <w:lang w:val="es-MX"/>
        </w:rPr>
      </w:pPr>
      <w:r>
        <w:rPr>
          <w:rFonts w:ascii="Verdana" w:hAnsi="Verdana"/>
          <w:lang w:val="es-MX"/>
        </w:rPr>
        <w:t>La exportación de carne aviar, que en 2011 alcanzó al 15% de la producción total es una actividad que se desarrolló vertiginosamente en el siglo XXI (gráfico 1A)</w:t>
      </w:r>
      <w:r>
        <w:rPr>
          <w:rStyle w:val="Refdenotaalpie"/>
          <w:rFonts w:ascii="Verdana" w:hAnsi="Verdana"/>
          <w:lang w:val="es-MX"/>
        </w:rPr>
        <w:footnoteReference w:id="1"/>
      </w:r>
      <w:r>
        <w:rPr>
          <w:rFonts w:ascii="Verdana" w:hAnsi="Verdana"/>
          <w:lang w:val="es-MX"/>
        </w:rPr>
        <w:t>. Por el contrario la declinación de las exportaciones de carne bovina se ha acentuado y por primera vez en 2012 el volumen de carne bovina exportado fue inferior al de carne aviar (gráfico 2A). Cierto es que estas últimas gozan de un tratamiento arancelario más favorable que el vigente para la carne vacuna, pero esto no alcanza a explicar la pérdida del liderazgo de las carne vacunas argentinas en el comercio internacional.</w:t>
      </w:r>
    </w:p>
    <w:p w:rsidR="003B0BAD" w:rsidRDefault="003B0BAD" w:rsidP="003B0BAD">
      <w:pPr>
        <w:autoSpaceDE w:val="0"/>
        <w:autoSpaceDN w:val="0"/>
        <w:adjustRightInd w:val="0"/>
        <w:jc w:val="center"/>
        <w:rPr>
          <w:rFonts w:ascii="Verdana" w:hAnsi="Verdana"/>
          <w:lang w:val="es-MX"/>
        </w:rPr>
      </w:pPr>
    </w:p>
    <w:p w:rsidR="00D8081C" w:rsidRDefault="00D8081C">
      <w:pPr>
        <w:spacing w:line="360" w:lineRule="auto"/>
        <w:rPr>
          <w:rFonts w:ascii="Verdana" w:hAnsi="Verdana"/>
          <w:b/>
          <w:bCs/>
          <w:lang w:val="es-AR"/>
        </w:rPr>
      </w:pPr>
      <w:r>
        <w:rPr>
          <w:rFonts w:ascii="Verdana" w:hAnsi="Verdana"/>
          <w:b/>
          <w:bCs/>
          <w:lang w:val="es-AR"/>
        </w:rPr>
        <w:br w:type="page"/>
      </w:r>
    </w:p>
    <w:p w:rsidR="003B0BAD" w:rsidRPr="00D8081C" w:rsidRDefault="003B0BAD" w:rsidP="003B0BAD">
      <w:pPr>
        <w:autoSpaceDE w:val="0"/>
        <w:autoSpaceDN w:val="0"/>
        <w:adjustRightInd w:val="0"/>
        <w:rPr>
          <w:rFonts w:ascii="Verdana" w:hAnsi="Verdana"/>
          <w:b/>
          <w:lang w:val="es-AR"/>
        </w:rPr>
      </w:pPr>
      <w:r w:rsidRPr="00D8081C">
        <w:rPr>
          <w:rFonts w:ascii="Verdana" w:hAnsi="Verdana"/>
          <w:b/>
          <w:bCs/>
          <w:lang w:val="es-AR"/>
        </w:rPr>
        <w:lastRenderedPageBreak/>
        <w:t>Gráfico 1A. Producción y exportación de carne aviar</w:t>
      </w:r>
      <w:r w:rsidRPr="00D8081C">
        <w:rPr>
          <w:rFonts w:ascii="Verdana" w:hAnsi="Verdana"/>
          <w:b/>
          <w:lang w:val="es-AR"/>
        </w:rPr>
        <w:t xml:space="preserve"> </w:t>
      </w:r>
    </w:p>
    <w:p w:rsidR="003B0BAD" w:rsidRDefault="003B0BAD" w:rsidP="00D8081C">
      <w:pPr>
        <w:autoSpaceDE w:val="0"/>
        <w:autoSpaceDN w:val="0"/>
        <w:adjustRightInd w:val="0"/>
        <w:rPr>
          <w:rFonts w:ascii="Verdana" w:hAnsi="Verdana"/>
          <w:b/>
          <w:bCs/>
          <w:highlight w:val="yellow"/>
          <w:u w:val="single"/>
          <w:lang w:val="es-AR"/>
        </w:rPr>
      </w:pPr>
      <w:r w:rsidRPr="00D8081C">
        <w:rPr>
          <w:rFonts w:ascii="Verdana" w:hAnsi="Verdana"/>
          <w:b/>
          <w:lang w:val="es-AR"/>
        </w:rPr>
        <w:t>1980-2012 (miles de toneladas)</w:t>
      </w:r>
      <w:r w:rsidR="00D8081C" w:rsidRPr="00D8081C">
        <w:rPr>
          <w:rFonts w:ascii="Verdana" w:hAnsi="Verdana"/>
          <w:b/>
          <w:bCs/>
          <w:u w:val="single"/>
          <w:lang w:val="es-AR"/>
        </w:rPr>
        <w:drawing>
          <wp:inline distT="0" distB="0" distL="0" distR="0">
            <wp:extent cx="5612130" cy="4073525"/>
            <wp:effectExtent l="19050" t="0" r="26670" b="31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8081C" w:rsidRDefault="00D8081C" w:rsidP="003B0BAD">
      <w:pPr>
        <w:autoSpaceDE w:val="0"/>
        <w:autoSpaceDN w:val="0"/>
        <w:adjustRightInd w:val="0"/>
        <w:rPr>
          <w:rFonts w:ascii="Verdana" w:hAnsi="Verdana"/>
          <w:bCs/>
          <w:sz w:val="18"/>
          <w:szCs w:val="18"/>
          <w:lang w:val="es-AR"/>
        </w:rPr>
      </w:pPr>
    </w:p>
    <w:p w:rsidR="003B0BAD" w:rsidRPr="00D8081C" w:rsidRDefault="003B0BAD" w:rsidP="003B0BAD">
      <w:pPr>
        <w:autoSpaceDE w:val="0"/>
        <w:autoSpaceDN w:val="0"/>
        <w:adjustRightInd w:val="0"/>
        <w:rPr>
          <w:rFonts w:ascii="Verdana" w:hAnsi="Verdana"/>
          <w:bCs/>
          <w:sz w:val="18"/>
          <w:szCs w:val="18"/>
          <w:lang w:val="es-AR"/>
        </w:rPr>
      </w:pPr>
      <w:r w:rsidRPr="00D8081C">
        <w:rPr>
          <w:rFonts w:ascii="Verdana" w:hAnsi="Verdana"/>
          <w:bCs/>
          <w:sz w:val="18"/>
          <w:szCs w:val="18"/>
          <w:lang w:val="es-AR"/>
        </w:rPr>
        <w:t xml:space="preserve">Fuente: Elaboración propia sobre la base de datos del Ministerio de Agroindustria. </w:t>
      </w:r>
    </w:p>
    <w:p w:rsidR="003B0BAD" w:rsidRPr="00D8081C" w:rsidRDefault="003B0BAD" w:rsidP="003B0BAD">
      <w:pPr>
        <w:autoSpaceDE w:val="0"/>
        <w:autoSpaceDN w:val="0"/>
        <w:adjustRightInd w:val="0"/>
        <w:jc w:val="center"/>
        <w:rPr>
          <w:rFonts w:ascii="Verdana" w:hAnsi="Verdana"/>
          <w:b/>
          <w:bCs/>
          <w:u w:val="single"/>
          <w:lang w:val="es-AR"/>
        </w:rPr>
      </w:pPr>
    </w:p>
    <w:p w:rsidR="003B0BAD" w:rsidRDefault="003B0BAD" w:rsidP="003B0BAD">
      <w:pPr>
        <w:autoSpaceDE w:val="0"/>
        <w:autoSpaceDN w:val="0"/>
        <w:adjustRightInd w:val="0"/>
        <w:jc w:val="center"/>
        <w:rPr>
          <w:rFonts w:ascii="Verdana" w:hAnsi="Verdana"/>
          <w:b/>
          <w:highlight w:val="yellow"/>
          <w:lang w:val="pt-PT"/>
        </w:rPr>
      </w:pPr>
    </w:p>
    <w:p w:rsidR="003B0BAD" w:rsidRDefault="003B0BAD" w:rsidP="003B0BAD">
      <w:pPr>
        <w:autoSpaceDE w:val="0"/>
        <w:autoSpaceDN w:val="0"/>
        <w:adjustRightInd w:val="0"/>
        <w:jc w:val="center"/>
        <w:rPr>
          <w:rFonts w:ascii="Verdana" w:hAnsi="Verdana"/>
          <w:b/>
          <w:highlight w:val="yellow"/>
          <w:lang w:val="pt-PT"/>
        </w:rPr>
      </w:pPr>
    </w:p>
    <w:p w:rsidR="003B0BAD" w:rsidRDefault="003B0BAD" w:rsidP="003B0BAD">
      <w:pPr>
        <w:autoSpaceDE w:val="0"/>
        <w:autoSpaceDN w:val="0"/>
        <w:adjustRightInd w:val="0"/>
        <w:jc w:val="center"/>
        <w:rPr>
          <w:rFonts w:ascii="Verdana" w:hAnsi="Verdana"/>
          <w:b/>
          <w:highlight w:val="yellow"/>
          <w:lang w:val="pt-PT"/>
        </w:rPr>
      </w:pPr>
    </w:p>
    <w:p w:rsidR="00D8081C" w:rsidRDefault="00D8081C" w:rsidP="003B0BAD">
      <w:pPr>
        <w:autoSpaceDE w:val="0"/>
        <w:autoSpaceDN w:val="0"/>
        <w:adjustRightInd w:val="0"/>
        <w:rPr>
          <w:rFonts w:ascii="Verdana" w:hAnsi="Verdana"/>
          <w:b/>
          <w:highlight w:val="yellow"/>
          <w:u w:val="single"/>
          <w:lang w:val="pt-PT"/>
        </w:rPr>
      </w:pPr>
      <w:r>
        <w:rPr>
          <w:rFonts w:ascii="Verdana" w:hAnsi="Verdana"/>
          <w:b/>
          <w:highlight w:val="yellow"/>
          <w:u w:val="single"/>
          <w:lang w:val="pt-PT"/>
        </w:rPr>
        <w:br/>
      </w:r>
    </w:p>
    <w:p w:rsidR="00D8081C" w:rsidRDefault="00D8081C">
      <w:pPr>
        <w:spacing w:line="360" w:lineRule="auto"/>
        <w:rPr>
          <w:rFonts w:ascii="Verdana" w:hAnsi="Verdana"/>
          <w:b/>
          <w:highlight w:val="yellow"/>
          <w:u w:val="single"/>
          <w:lang w:val="pt-PT"/>
        </w:rPr>
      </w:pPr>
      <w:r>
        <w:rPr>
          <w:rFonts w:ascii="Verdana" w:hAnsi="Verdana"/>
          <w:b/>
          <w:highlight w:val="yellow"/>
          <w:u w:val="single"/>
          <w:lang w:val="pt-PT"/>
        </w:rPr>
        <w:br w:type="page"/>
      </w:r>
    </w:p>
    <w:p w:rsidR="003B0BAD" w:rsidRPr="00D8081C" w:rsidRDefault="003B0BAD" w:rsidP="003B0BAD">
      <w:pPr>
        <w:autoSpaceDE w:val="0"/>
        <w:autoSpaceDN w:val="0"/>
        <w:adjustRightInd w:val="0"/>
        <w:rPr>
          <w:rFonts w:ascii="Verdana" w:hAnsi="Verdana" w:cs="Arial"/>
          <w:b/>
          <w:u w:val="single"/>
          <w:lang w:val="es-AR"/>
        </w:rPr>
      </w:pPr>
      <w:r w:rsidRPr="00D8081C">
        <w:rPr>
          <w:rFonts w:ascii="Verdana" w:hAnsi="Verdana" w:cs="Arial"/>
          <w:b/>
          <w:bCs/>
          <w:u w:val="single"/>
          <w:lang w:val="es-AR"/>
        </w:rPr>
        <w:lastRenderedPageBreak/>
        <w:t>Gráfico 2A. Exportaciones de Carnes 2000-2012</w:t>
      </w:r>
    </w:p>
    <w:p w:rsidR="003B0BAD" w:rsidRPr="00D8081C" w:rsidRDefault="003B0BAD" w:rsidP="003B0BAD">
      <w:pPr>
        <w:autoSpaceDE w:val="0"/>
        <w:autoSpaceDN w:val="0"/>
        <w:adjustRightInd w:val="0"/>
        <w:rPr>
          <w:rFonts w:ascii="Verdana" w:hAnsi="Verdana" w:cs="Arial"/>
          <w:b/>
          <w:u w:val="single"/>
          <w:lang w:val="es-AR"/>
        </w:rPr>
      </w:pPr>
      <w:r w:rsidRPr="00D8081C">
        <w:rPr>
          <w:rFonts w:ascii="Verdana" w:hAnsi="Verdana" w:cs="Arial"/>
          <w:b/>
          <w:bCs/>
          <w:u w:val="single"/>
          <w:lang w:val="es-AR"/>
        </w:rPr>
        <w:t>(</w:t>
      </w:r>
      <w:proofErr w:type="gramStart"/>
      <w:r w:rsidRPr="00D8081C">
        <w:rPr>
          <w:rFonts w:ascii="Verdana" w:hAnsi="Verdana" w:cs="Arial"/>
          <w:b/>
          <w:bCs/>
          <w:u w:val="single"/>
          <w:lang w:val="es-AR"/>
        </w:rPr>
        <w:t>miles</w:t>
      </w:r>
      <w:proofErr w:type="gramEnd"/>
      <w:r w:rsidRPr="00D8081C">
        <w:rPr>
          <w:rFonts w:ascii="Verdana" w:hAnsi="Verdana" w:cs="Arial"/>
          <w:b/>
          <w:bCs/>
          <w:u w:val="single"/>
          <w:lang w:val="es-AR"/>
        </w:rPr>
        <w:t xml:space="preserve"> de toneladas) </w:t>
      </w:r>
    </w:p>
    <w:p w:rsidR="003B0BAD" w:rsidRDefault="003B0BAD" w:rsidP="003B0BAD">
      <w:pPr>
        <w:autoSpaceDE w:val="0"/>
        <w:autoSpaceDN w:val="0"/>
        <w:adjustRightInd w:val="0"/>
        <w:rPr>
          <w:rFonts w:ascii="Verdana" w:hAnsi="Verdana" w:cs="Arial"/>
          <w:b/>
          <w:i/>
          <w:u w:val="single"/>
        </w:rPr>
      </w:pPr>
    </w:p>
    <w:p w:rsidR="00D8081C" w:rsidRDefault="00D8081C" w:rsidP="003B0BAD">
      <w:pPr>
        <w:autoSpaceDE w:val="0"/>
        <w:autoSpaceDN w:val="0"/>
        <w:adjustRightInd w:val="0"/>
        <w:rPr>
          <w:rFonts w:ascii="Verdana" w:hAnsi="Verdana" w:cs="Arial"/>
          <w:b/>
          <w:i/>
          <w:u w:val="single"/>
        </w:rPr>
      </w:pPr>
    </w:p>
    <w:p w:rsidR="00D8081C" w:rsidRPr="00D8081C" w:rsidRDefault="00D8081C" w:rsidP="003B0BAD">
      <w:pPr>
        <w:autoSpaceDE w:val="0"/>
        <w:autoSpaceDN w:val="0"/>
        <w:adjustRightInd w:val="0"/>
        <w:rPr>
          <w:rFonts w:ascii="Verdana" w:hAnsi="Verdana" w:cs="Arial"/>
          <w:b/>
          <w:i/>
          <w:u w:val="single"/>
        </w:rPr>
      </w:pPr>
      <w:r w:rsidRPr="00D8081C">
        <w:rPr>
          <w:rFonts w:ascii="Verdana" w:hAnsi="Verdana" w:cs="Arial"/>
          <w:b/>
          <w:i/>
          <w:u w:val="single"/>
        </w:rPr>
        <w:drawing>
          <wp:inline distT="0" distB="0" distL="0" distR="0">
            <wp:extent cx="5612130" cy="4073525"/>
            <wp:effectExtent l="19050" t="0" r="26670" b="317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8081C" w:rsidRDefault="00D8081C" w:rsidP="003B0BAD">
      <w:pPr>
        <w:autoSpaceDE w:val="0"/>
        <w:autoSpaceDN w:val="0"/>
        <w:adjustRightInd w:val="0"/>
        <w:rPr>
          <w:rFonts w:ascii="Verdana" w:hAnsi="Verdana" w:cs="Arial"/>
          <w:sz w:val="18"/>
          <w:szCs w:val="18"/>
          <w:lang w:val="es-AR"/>
        </w:rPr>
      </w:pPr>
    </w:p>
    <w:p w:rsidR="003B0BAD" w:rsidRPr="00D8081C" w:rsidRDefault="003B0BAD" w:rsidP="003B0BAD">
      <w:pPr>
        <w:autoSpaceDE w:val="0"/>
        <w:autoSpaceDN w:val="0"/>
        <w:adjustRightInd w:val="0"/>
        <w:rPr>
          <w:rFonts w:ascii="Verdana" w:hAnsi="Verdana" w:cs="Arial"/>
          <w:sz w:val="18"/>
          <w:szCs w:val="18"/>
          <w:lang w:val="es-AR"/>
        </w:rPr>
      </w:pPr>
      <w:r w:rsidRPr="00D8081C">
        <w:rPr>
          <w:rFonts w:ascii="Verdana" w:hAnsi="Verdana" w:cs="Arial"/>
          <w:sz w:val="18"/>
          <w:szCs w:val="18"/>
          <w:lang w:val="es-AR"/>
        </w:rPr>
        <w:t xml:space="preserve">Fuente: Elaboración propia sobre la base de datos del Ministerio de Agroindustria. </w:t>
      </w:r>
    </w:p>
    <w:p w:rsidR="003B0BAD" w:rsidRDefault="003B0BAD" w:rsidP="003B0BAD">
      <w:pPr>
        <w:autoSpaceDE w:val="0"/>
        <w:autoSpaceDN w:val="0"/>
        <w:adjustRightInd w:val="0"/>
        <w:jc w:val="center"/>
        <w:rPr>
          <w:rFonts w:ascii="Verdana" w:hAnsi="Verdana"/>
          <w:lang w:val="pt-PT"/>
        </w:rPr>
      </w:pPr>
    </w:p>
    <w:p w:rsidR="003B0BAD" w:rsidRDefault="003B0BAD" w:rsidP="003B0BAD">
      <w:pPr>
        <w:autoSpaceDE w:val="0"/>
        <w:autoSpaceDN w:val="0"/>
        <w:adjustRightInd w:val="0"/>
        <w:jc w:val="center"/>
        <w:rPr>
          <w:rFonts w:ascii="Verdana" w:hAnsi="Verdana"/>
          <w:lang w:val="pt-PT"/>
        </w:rPr>
      </w:pPr>
    </w:p>
    <w:p w:rsidR="003B0BAD" w:rsidRDefault="003B0BAD" w:rsidP="003B0BAD">
      <w:pPr>
        <w:autoSpaceDE w:val="0"/>
        <w:autoSpaceDN w:val="0"/>
        <w:adjustRightInd w:val="0"/>
        <w:jc w:val="center"/>
        <w:rPr>
          <w:rFonts w:ascii="Verdana" w:hAnsi="Verdana"/>
          <w:lang w:val="pt-PT"/>
        </w:rPr>
      </w:pPr>
    </w:p>
    <w:p w:rsidR="003B0BAD" w:rsidRDefault="003B0BAD" w:rsidP="003B0BAD">
      <w:pPr>
        <w:autoSpaceDE w:val="0"/>
        <w:autoSpaceDN w:val="0"/>
        <w:adjustRightInd w:val="0"/>
        <w:jc w:val="center"/>
        <w:rPr>
          <w:rFonts w:ascii="Verdana" w:hAnsi="Verdana"/>
          <w:lang w:val="pt-PT"/>
        </w:rPr>
      </w:pPr>
    </w:p>
    <w:p w:rsidR="003B0BAD" w:rsidRDefault="003B0BAD" w:rsidP="003B0BAD">
      <w:pPr>
        <w:autoSpaceDE w:val="0"/>
        <w:autoSpaceDN w:val="0"/>
        <w:adjustRightInd w:val="0"/>
        <w:jc w:val="center"/>
        <w:rPr>
          <w:rFonts w:ascii="Verdana" w:hAnsi="Verdana"/>
          <w:lang w:val="pt-PT"/>
        </w:rPr>
      </w:pPr>
    </w:p>
    <w:p w:rsidR="003B0BAD" w:rsidRDefault="003B0BAD" w:rsidP="003B0BAD">
      <w:pPr>
        <w:autoSpaceDE w:val="0"/>
        <w:autoSpaceDN w:val="0"/>
        <w:adjustRightInd w:val="0"/>
        <w:jc w:val="center"/>
        <w:rPr>
          <w:rFonts w:ascii="Verdana" w:hAnsi="Verdana"/>
          <w:lang w:val="pt-PT"/>
        </w:rPr>
      </w:pPr>
    </w:p>
    <w:p w:rsidR="003B0BAD" w:rsidRDefault="003B0BAD" w:rsidP="003B0BAD">
      <w:pPr>
        <w:autoSpaceDE w:val="0"/>
        <w:autoSpaceDN w:val="0"/>
        <w:adjustRightInd w:val="0"/>
        <w:jc w:val="center"/>
        <w:rPr>
          <w:rFonts w:ascii="Verdana" w:hAnsi="Verdana"/>
          <w:lang w:val="pt-PT"/>
        </w:rPr>
      </w:pPr>
    </w:p>
    <w:p w:rsidR="003B0BAD" w:rsidRDefault="003B0BAD" w:rsidP="003B0BAD">
      <w:pPr>
        <w:autoSpaceDE w:val="0"/>
        <w:autoSpaceDN w:val="0"/>
        <w:adjustRightInd w:val="0"/>
        <w:jc w:val="center"/>
        <w:rPr>
          <w:rFonts w:ascii="Verdana" w:hAnsi="Verdana"/>
          <w:lang w:val="pt-PT"/>
        </w:rPr>
      </w:pPr>
    </w:p>
    <w:p w:rsidR="003B376D" w:rsidRPr="003B0BAD" w:rsidRDefault="003B376D">
      <w:pPr>
        <w:rPr>
          <w:lang w:val="pt-PT"/>
        </w:rPr>
      </w:pPr>
    </w:p>
    <w:sectPr w:rsidR="003B376D" w:rsidRPr="003B0BAD" w:rsidSect="003B376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1D9" w:rsidRDefault="000201D9" w:rsidP="003B0BAD">
      <w:r>
        <w:separator/>
      </w:r>
    </w:p>
  </w:endnote>
  <w:endnote w:type="continuationSeparator" w:id="0">
    <w:p w:rsidR="000201D9" w:rsidRDefault="000201D9" w:rsidP="003B0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1D9" w:rsidRDefault="000201D9" w:rsidP="003B0BAD">
      <w:r>
        <w:separator/>
      </w:r>
    </w:p>
  </w:footnote>
  <w:footnote w:type="continuationSeparator" w:id="0">
    <w:p w:rsidR="000201D9" w:rsidRDefault="000201D9" w:rsidP="003B0BAD">
      <w:r>
        <w:continuationSeparator/>
      </w:r>
    </w:p>
  </w:footnote>
  <w:footnote w:id="1">
    <w:p w:rsidR="003B0BAD" w:rsidRDefault="003B0BAD" w:rsidP="003B0BAD">
      <w:pPr>
        <w:pStyle w:val="Textonotapie"/>
        <w:jc w:val="both"/>
        <w:rPr>
          <w:rFonts w:ascii="Verdana" w:hAnsi="Verdana"/>
        </w:rPr>
      </w:pPr>
      <w:r>
        <w:rPr>
          <w:rStyle w:val="Refdenotaalpie"/>
          <w:rFonts w:ascii="Verdana" w:hAnsi="Verdana"/>
        </w:rPr>
        <w:footnoteRef/>
      </w:r>
      <w:r>
        <w:rPr>
          <w:rFonts w:ascii="Verdana" w:hAnsi="Verdana"/>
        </w:rPr>
        <w:t xml:space="preserve"> Tasa anual de crecimiento de 31,2 % entre 2001 y 2012.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
  <w:proofState w:spelling="clean" w:grammar="clean"/>
  <w:defaultTabStop w:val="708"/>
  <w:hyphenationZone w:val="425"/>
  <w:characterSpacingControl w:val="doNotCompress"/>
  <w:footnotePr>
    <w:footnote w:id="-1"/>
    <w:footnote w:id="0"/>
  </w:footnotePr>
  <w:endnotePr>
    <w:endnote w:id="-1"/>
    <w:endnote w:id="0"/>
  </w:endnotePr>
  <w:compat/>
  <w:rsids>
    <w:rsidRoot w:val="003B0BAD"/>
    <w:rsid w:val="000201D9"/>
    <w:rsid w:val="000302DA"/>
    <w:rsid w:val="001249F4"/>
    <w:rsid w:val="00353ED9"/>
    <w:rsid w:val="003B0BAD"/>
    <w:rsid w:val="003B376D"/>
    <w:rsid w:val="0074350F"/>
    <w:rsid w:val="00D8081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s-A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AD"/>
    <w:pPr>
      <w:spacing w:line="240" w:lineRule="auto"/>
    </w:pPr>
    <w:rPr>
      <w:rFonts w:eastAsia="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3B0BAD"/>
    <w:rPr>
      <w:sz w:val="20"/>
      <w:szCs w:val="20"/>
    </w:rPr>
  </w:style>
  <w:style w:type="character" w:customStyle="1" w:styleId="TextonotapieCar">
    <w:name w:val="Texto nota pie Car"/>
    <w:basedOn w:val="Fuentedeprrafopredeter"/>
    <w:link w:val="Textonotapie"/>
    <w:semiHidden/>
    <w:rsid w:val="003B0BAD"/>
    <w:rPr>
      <w:rFonts w:eastAsia="Times New Roman" w:cs="Times New Roman"/>
      <w:lang w:val="es-ES" w:eastAsia="es-ES"/>
    </w:rPr>
  </w:style>
  <w:style w:type="character" w:styleId="Refdenotaalpie">
    <w:name w:val="footnote reference"/>
    <w:semiHidden/>
    <w:unhideWhenUsed/>
    <w:rsid w:val="003B0BAD"/>
    <w:rPr>
      <w:vertAlign w:val="superscript"/>
    </w:rPr>
  </w:style>
  <w:style w:type="paragraph" w:styleId="Textodeglobo">
    <w:name w:val="Balloon Text"/>
    <w:basedOn w:val="Normal"/>
    <w:link w:val="TextodegloboCar"/>
    <w:uiPriority w:val="99"/>
    <w:semiHidden/>
    <w:unhideWhenUsed/>
    <w:rsid w:val="00D8081C"/>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81C"/>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99610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Eugenio%20Cap\Desktop\ESCRITORIO\Demanda%20Carnes%20Des%20Eco\GRAFICO%201%20Anexo%20fina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Eugenio%20Cap\Desktop\ESCRITORIO\Demanda%20Carnes%20Des%20Eco\GRAFICO%202%20Anexo%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AR"/>
  <c:chart>
    <c:title>
      <c:tx>
        <c:rich>
          <a:bodyPr/>
          <a:lstStyle/>
          <a:p>
            <a:pPr>
              <a:defRPr sz="2000"/>
            </a:pPr>
            <a:r>
              <a:rPr lang="es-AR" sz="2000"/>
              <a:t>Gráfico 1A. Producción y exportación de carne aviar</a:t>
            </a:r>
            <a:endParaRPr lang="es-AR" sz="2000" b="0" i="0" u="none" strike="noStrike" baseline="0"/>
          </a:p>
          <a:p>
            <a:pPr>
              <a:defRPr sz="2000"/>
            </a:pPr>
            <a:r>
              <a:rPr lang="es-AR" sz="2000" b="0" i="0" u="none" strike="noStrike" baseline="0"/>
              <a:t>1980-2012 (miles de toneladas)</a:t>
            </a:r>
            <a:r>
              <a:rPr lang="es-AR" sz="2000"/>
              <a:t> </a:t>
            </a:r>
          </a:p>
        </c:rich>
      </c:tx>
    </c:title>
    <c:plotArea>
      <c:layout>
        <c:manualLayout>
          <c:layoutTarget val="inner"/>
          <c:xMode val="edge"/>
          <c:yMode val="edge"/>
          <c:x val="0.10326089965844992"/>
          <c:y val="0.13174762124910983"/>
          <c:w val="0.85134365981935967"/>
          <c:h val="0.6504728895265669"/>
        </c:manualLayout>
      </c:layout>
      <c:lineChart>
        <c:grouping val="standard"/>
        <c:ser>
          <c:idx val="1"/>
          <c:order val="0"/>
          <c:tx>
            <c:strRef>
              <c:f>Hoja1!$B$2</c:f>
              <c:strCache>
                <c:ptCount val="1"/>
                <c:pt idx="0">
                  <c:v>Producción (eje izq.)</c:v>
                </c:pt>
              </c:strCache>
            </c:strRef>
          </c:tx>
          <c:spPr>
            <a:ln w="57150">
              <a:solidFill>
                <a:prstClr val="black"/>
              </a:solidFill>
            </a:ln>
          </c:spPr>
          <c:marker>
            <c:symbol val="none"/>
          </c:marker>
          <c:cat>
            <c:numRef>
              <c:f>Hoja1!$A$3:$A$37</c:f>
              <c:numCache>
                <c:formatCode>0</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cat>
          <c:val>
            <c:numRef>
              <c:f>Hoja1!$B$3:$B$35</c:f>
              <c:numCache>
                <c:formatCode>0.00</c:formatCode>
                <c:ptCount val="33"/>
                <c:pt idx="0">
                  <c:v>254.19</c:v>
                </c:pt>
                <c:pt idx="1">
                  <c:v>264.74</c:v>
                </c:pt>
                <c:pt idx="2">
                  <c:v>248.25</c:v>
                </c:pt>
                <c:pt idx="3">
                  <c:v>274.17</c:v>
                </c:pt>
                <c:pt idx="4">
                  <c:v>290.39</c:v>
                </c:pt>
                <c:pt idx="5">
                  <c:v>318.41000000000003</c:v>
                </c:pt>
                <c:pt idx="6">
                  <c:v>357.45</c:v>
                </c:pt>
                <c:pt idx="7">
                  <c:v>403.34000000000003</c:v>
                </c:pt>
                <c:pt idx="8">
                  <c:v>359.44</c:v>
                </c:pt>
                <c:pt idx="9">
                  <c:v>314.69</c:v>
                </c:pt>
                <c:pt idx="10">
                  <c:v>335.71999999999997</c:v>
                </c:pt>
                <c:pt idx="11">
                  <c:v>389.78999999999996</c:v>
                </c:pt>
                <c:pt idx="12">
                  <c:v>389.78999999999996</c:v>
                </c:pt>
                <c:pt idx="13">
                  <c:v>663.98</c:v>
                </c:pt>
                <c:pt idx="14">
                  <c:v>677.38000000000011</c:v>
                </c:pt>
                <c:pt idx="15">
                  <c:v>742.79000000000008</c:v>
                </c:pt>
                <c:pt idx="16">
                  <c:v>719.7299999999999</c:v>
                </c:pt>
                <c:pt idx="17">
                  <c:v>751.37</c:v>
                </c:pt>
                <c:pt idx="18">
                  <c:v>855.09</c:v>
                </c:pt>
                <c:pt idx="19">
                  <c:v>904.03</c:v>
                </c:pt>
                <c:pt idx="20">
                  <c:v>918.93999999999983</c:v>
                </c:pt>
                <c:pt idx="21">
                  <c:v>912.63000000000011</c:v>
                </c:pt>
                <c:pt idx="22">
                  <c:v>671.4699999999998</c:v>
                </c:pt>
                <c:pt idx="23">
                  <c:v>708.88000000000011</c:v>
                </c:pt>
                <c:pt idx="24">
                  <c:v>866</c:v>
                </c:pt>
                <c:pt idx="25">
                  <c:v>1010</c:v>
                </c:pt>
                <c:pt idx="26">
                  <c:v>1159</c:v>
                </c:pt>
                <c:pt idx="27">
                  <c:v>1244</c:v>
                </c:pt>
                <c:pt idx="28">
                  <c:v>1400</c:v>
                </c:pt>
                <c:pt idx="29">
                  <c:v>1502</c:v>
                </c:pt>
                <c:pt idx="30">
                  <c:v>1598</c:v>
                </c:pt>
                <c:pt idx="31">
                  <c:v>1779</c:v>
                </c:pt>
                <c:pt idx="32">
                  <c:v>1903</c:v>
                </c:pt>
              </c:numCache>
            </c:numRef>
          </c:val>
        </c:ser>
        <c:marker val="1"/>
        <c:axId val="98234368"/>
        <c:axId val="98235904"/>
      </c:lineChart>
      <c:lineChart>
        <c:grouping val="standard"/>
        <c:ser>
          <c:idx val="2"/>
          <c:order val="1"/>
          <c:tx>
            <c:strRef>
              <c:f>Hoja1!$C$2</c:f>
              <c:strCache>
                <c:ptCount val="1"/>
                <c:pt idx="0">
                  <c:v>Exportación (eje der.)</c:v>
                </c:pt>
              </c:strCache>
            </c:strRef>
          </c:tx>
          <c:spPr>
            <a:ln w="57150">
              <a:solidFill>
                <a:schemeClr val="tx1"/>
              </a:solidFill>
              <a:prstDash val="sysDot"/>
            </a:ln>
          </c:spPr>
          <c:marker>
            <c:symbol val="none"/>
          </c:marker>
          <c:cat>
            <c:numRef>
              <c:f>Hoja1!$A$3:$A$35</c:f>
              <c:numCache>
                <c:formatCode>0</c:formatCode>
                <c:ptCount val="33"/>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numCache>
            </c:numRef>
          </c:cat>
          <c:val>
            <c:numRef>
              <c:f>Hoja1!$C$3:$C$35</c:f>
              <c:numCache>
                <c:formatCode>0.00</c:formatCode>
                <c:ptCount val="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formatCode="General">
                  <c:v>9.4</c:v>
                </c:pt>
                <c:pt idx="15" formatCode="General">
                  <c:v>14.2</c:v>
                </c:pt>
                <c:pt idx="16" formatCode="General">
                  <c:v>19.600000000000001</c:v>
                </c:pt>
                <c:pt idx="17" formatCode="General">
                  <c:v>28.1</c:v>
                </c:pt>
                <c:pt idx="18" formatCode="General">
                  <c:v>30.1</c:v>
                </c:pt>
                <c:pt idx="19" formatCode="General">
                  <c:v>28.1</c:v>
                </c:pt>
                <c:pt idx="20" formatCode="General">
                  <c:v>28.7</c:v>
                </c:pt>
                <c:pt idx="21" formatCode="General">
                  <c:v>34.200000000000003</c:v>
                </c:pt>
                <c:pt idx="22" formatCode="General">
                  <c:v>46.2</c:v>
                </c:pt>
                <c:pt idx="23" formatCode="General">
                  <c:v>61.6</c:v>
                </c:pt>
                <c:pt idx="24" formatCode="General">
                  <c:v>93.4</c:v>
                </c:pt>
                <c:pt idx="25" formatCode="General">
                  <c:v>143</c:v>
                </c:pt>
                <c:pt idx="26" formatCode="General">
                  <c:v>150</c:v>
                </c:pt>
                <c:pt idx="27">
                  <c:v>187.9</c:v>
                </c:pt>
                <c:pt idx="28" formatCode="General">
                  <c:v>231.4</c:v>
                </c:pt>
                <c:pt idx="29" formatCode="General">
                  <c:v>240.1</c:v>
                </c:pt>
                <c:pt idx="30" formatCode="General">
                  <c:v>284</c:v>
                </c:pt>
                <c:pt idx="31" formatCode="General">
                  <c:v>296</c:v>
                </c:pt>
                <c:pt idx="32" formatCode="General">
                  <c:v>337</c:v>
                </c:pt>
              </c:numCache>
            </c:numRef>
          </c:val>
        </c:ser>
        <c:marker val="1"/>
        <c:axId val="99878016"/>
        <c:axId val="98237824"/>
      </c:lineChart>
      <c:catAx>
        <c:axId val="98234368"/>
        <c:scaling>
          <c:orientation val="minMax"/>
        </c:scaling>
        <c:axPos val="b"/>
        <c:numFmt formatCode="0" sourceLinked="1"/>
        <c:majorTickMark val="none"/>
        <c:tickLblPos val="nextTo"/>
        <c:txPr>
          <a:bodyPr/>
          <a:lstStyle/>
          <a:p>
            <a:pPr>
              <a:defRPr sz="1200"/>
            </a:pPr>
            <a:endParaRPr lang="es-AR"/>
          </a:p>
        </c:txPr>
        <c:crossAx val="98235904"/>
        <c:crosses val="autoZero"/>
        <c:auto val="1"/>
        <c:lblAlgn val="ctr"/>
        <c:lblOffset val="100"/>
        <c:tickLblSkip val="2"/>
        <c:tickMarkSkip val="2"/>
      </c:catAx>
      <c:valAx>
        <c:axId val="98235904"/>
        <c:scaling>
          <c:orientation val="minMax"/>
          <c:min val="0"/>
        </c:scaling>
        <c:axPos val="l"/>
        <c:title>
          <c:tx>
            <c:rich>
              <a:bodyPr/>
              <a:lstStyle/>
              <a:p>
                <a:pPr>
                  <a:defRPr sz="1600"/>
                </a:pPr>
                <a:r>
                  <a:rPr lang="es-AR" sz="1600"/>
                  <a:t>miles de toneladas</a:t>
                </a:r>
              </a:p>
            </c:rich>
          </c:tx>
        </c:title>
        <c:numFmt formatCode="0" sourceLinked="0"/>
        <c:majorTickMark val="none"/>
        <c:tickLblPos val="nextTo"/>
        <c:txPr>
          <a:bodyPr/>
          <a:lstStyle/>
          <a:p>
            <a:pPr>
              <a:defRPr sz="1200"/>
            </a:pPr>
            <a:endParaRPr lang="es-AR"/>
          </a:p>
        </c:txPr>
        <c:crossAx val="98234368"/>
        <c:crosses val="autoZero"/>
        <c:crossBetween val="between"/>
        <c:majorUnit val="500"/>
      </c:valAx>
      <c:valAx>
        <c:axId val="98237824"/>
        <c:scaling>
          <c:orientation val="minMax"/>
        </c:scaling>
        <c:axPos val="r"/>
        <c:numFmt formatCode="0" sourceLinked="0"/>
        <c:tickLblPos val="nextTo"/>
        <c:crossAx val="99878016"/>
        <c:crosses val="max"/>
        <c:crossBetween val="between"/>
        <c:majorUnit val="100"/>
      </c:valAx>
      <c:catAx>
        <c:axId val="99878016"/>
        <c:scaling>
          <c:orientation val="minMax"/>
        </c:scaling>
        <c:delete val="1"/>
        <c:axPos val="b"/>
        <c:numFmt formatCode="0" sourceLinked="1"/>
        <c:tickLblPos val="none"/>
        <c:crossAx val="98237824"/>
        <c:crosses val="autoZero"/>
        <c:auto val="1"/>
        <c:lblAlgn val="ctr"/>
        <c:lblOffset val="100"/>
      </c:catAx>
      <c:spPr>
        <a:noFill/>
        <a:ln>
          <a:solidFill>
            <a:prstClr val="black"/>
          </a:solidFill>
        </a:ln>
      </c:spPr>
    </c:plotArea>
    <c:legend>
      <c:legendPos val="b"/>
      <c:layout>
        <c:manualLayout>
          <c:xMode val="edge"/>
          <c:yMode val="edge"/>
          <c:x val="0.33277458058359782"/>
          <c:y val="0.86056660287943643"/>
          <c:w val="0.5329430715889516"/>
          <c:h val="5.1134145006105053E-2"/>
        </c:manualLayout>
      </c:layout>
      <c:txPr>
        <a:bodyPr/>
        <a:lstStyle/>
        <a:p>
          <a:pPr>
            <a:defRPr sz="1600"/>
          </a:pPr>
          <a:endParaRPr lang="es-AR"/>
        </a:p>
      </c:txP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AR"/>
  <c:chart>
    <c:title>
      <c:tx>
        <c:rich>
          <a:bodyPr/>
          <a:lstStyle/>
          <a:p>
            <a:pPr>
              <a:defRPr sz="2000"/>
            </a:pPr>
            <a:r>
              <a:rPr lang="es-AR" sz="2000"/>
              <a:t>Gráfico 2A.</a:t>
            </a:r>
            <a:r>
              <a:rPr lang="es-AR" sz="2000" baseline="0"/>
              <a:t> </a:t>
            </a:r>
            <a:r>
              <a:rPr lang="es-AR" sz="2000"/>
              <a:t>Exportaciones de Carnes 2000-2012</a:t>
            </a:r>
          </a:p>
          <a:p>
            <a:pPr>
              <a:defRPr sz="2000"/>
            </a:pPr>
            <a:r>
              <a:rPr lang="es-AR" sz="2000"/>
              <a:t>miles</a:t>
            </a:r>
            <a:r>
              <a:rPr lang="es-AR" sz="2000" baseline="0"/>
              <a:t> de toneladas</a:t>
            </a:r>
            <a:endParaRPr lang="es-AR" sz="2000"/>
          </a:p>
        </c:rich>
      </c:tx>
    </c:title>
    <c:plotArea>
      <c:layout>
        <c:manualLayout>
          <c:layoutTarget val="inner"/>
          <c:xMode val="edge"/>
          <c:yMode val="edge"/>
          <c:x val="0.14497462817147871"/>
          <c:y val="0.20038203557888598"/>
          <c:w val="0.76895363079615064"/>
          <c:h val="0.52121719160104885"/>
        </c:manualLayout>
      </c:layout>
      <c:lineChart>
        <c:grouping val="standard"/>
        <c:ser>
          <c:idx val="0"/>
          <c:order val="0"/>
          <c:tx>
            <c:strRef>
              <c:f>Hoja1!$B$1</c:f>
              <c:strCache>
                <c:ptCount val="1"/>
                <c:pt idx="0">
                  <c:v>Bovina (eje izq.)</c:v>
                </c:pt>
              </c:strCache>
            </c:strRef>
          </c:tx>
          <c:spPr>
            <a:ln w="50800">
              <a:solidFill>
                <a:schemeClr val="tx1"/>
              </a:solidFill>
              <a:prstDash val="sysDot"/>
            </a:ln>
          </c:spPr>
          <c:marker>
            <c:symbol val="none"/>
          </c:marker>
          <c:cat>
            <c:numRef>
              <c:f>Hoja1!$A$2:$A$14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Hoja1!$B$2:$B$14</c:f>
              <c:numCache>
                <c:formatCode>##0.00</c:formatCode>
                <c:ptCount val="13"/>
                <c:pt idx="0">
                  <c:v>275.24536999999992</c:v>
                </c:pt>
                <c:pt idx="1">
                  <c:v>125.88003399999998</c:v>
                </c:pt>
                <c:pt idx="2">
                  <c:v>255.585363</c:v>
                </c:pt>
                <c:pt idx="3">
                  <c:v>289.48682599999995</c:v>
                </c:pt>
                <c:pt idx="4">
                  <c:v>476.00875799999994</c:v>
                </c:pt>
                <c:pt idx="5">
                  <c:v>578.80486699999983</c:v>
                </c:pt>
                <c:pt idx="6">
                  <c:v>453.04858400000001</c:v>
                </c:pt>
                <c:pt idx="7">
                  <c:v>447.46939300000003</c:v>
                </c:pt>
                <c:pt idx="8">
                  <c:v>359.10283900000002</c:v>
                </c:pt>
                <c:pt idx="9">
                  <c:v>554.17218700000001</c:v>
                </c:pt>
                <c:pt idx="10">
                  <c:v>265.18042800000001</c:v>
                </c:pt>
                <c:pt idx="11">
                  <c:v>235.24729600000001</c:v>
                </c:pt>
                <c:pt idx="12">
                  <c:v>212.099647</c:v>
                </c:pt>
              </c:numCache>
            </c:numRef>
          </c:val>
        </c:ser>
        <c:marker val="1"/>
        <c:axId val="99916416"/>
        <c:axId val="99926400"/>
      </c:lineChart>
      <c:lineChart>
        <c:grouping val="standard"/>
        <c:ser>
          <c:idx val="1"/>
          <c:order val="1"/>
          <c:tx>
            <c:strRef>
              <c:f>Hoja1!$C$1</c:f>
              <c:strCache>
                <c:ptCount val="1"/>
                <c:pt idx="0">
                  <c:v>Aviar (eje der.)</c:v>
                </c:pt>
              </c:strCache>
            </c:strRef>
          </c:tx>
          <c:spPr>
            <a:ln w="31750">
              <a:solidFill>
                <a:prstClr val="black"/>
              </a:solidFill>
              <a:prstDash val="solid"/>
            </a:ln>
          </c:spPr>
          <c:marker>
            <c:symbol val="none"/>
          </c:marker>
          <c:cat>
            <c:numRef>
              <c:f>Hoja1!$A$2:$A$14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Hoja1!$C$2:$C$14</c:f>
              <c:numCache>
                <c:formatCode>##0.00</c:formatCode>
                <c:ptCount val="13"/>
                <c:pt idx="0">
                  <c:v>28.7</c:v>
                </c:pt>
                <c:pt idx="1">
                  <c:v>34.200000000000003</c:v>
                </c:pt>
                <c:pt idx="2">
                  <c:v>46.2</c:v>
                </c:pt>
                <c:pt idx="3">
                  <c:v>61.6</c:v>
                </c:pt>
                <c:pt idx="4">
                  <c:v>93.4</c:v>
                </c:pt>
                <c:pt idx="5">
                  <c:v>143</c:v>
                </c:pt>
                <c:pt idx="6">
                  <c:v>150</c:v>
                </c:pt>
                <c:pt idx="7">
                  <c:v>187.9</c:v>
                </c:pt>
                <c:pt idx="8">
                  <c:v>231.4</c:v>
                </c:pt>
                <c:pt idx="9">
                  <c:v>240.1</c:v>
                </c:pt>
                <c:pt idx="10">
                  <c:v>284</c:v>
                </c:pt>
                <c:pt idx="11">
                  <c:v>296</c:v>
                </c:pt>
                <c:pt idx="12">
                  <c:v>337</c:v>
                </c:pt>
              </c:numCache>
            </c:numRef>
          </c:val>
        </c:ser>
        <c:marker val="1"/>
        <c:axId val="99930112"/>
        <c:axId val="99928320"/>
      </c:lineChart>
      <c:catAx>
        <c:axId val="99916416"/>
        <c:scaling>
          <c:orientation val="minMax"/>
        </c:scaling>
        <c:axPos val="b"/>
        <c:numFmt formatCode="General" sourceLinked="1"/>
        <c:majorTickMark val="none"/>
        <c:tickLblPos val="nextTo"/>
        <c:crossAx val="99926400"/>
        <c:crosses val="autoZero"/>
        <c:auto val="1"/>
        <c:lblAlgn val="ctr"/>
        <c:lblOffset val="100"/>
        <c:tickLblSkip val="2"/>
        <c:tickMarkSkip val="2"/>
      </c:catAx>
      <c:valAx>
        <c:axId val="99926400"/>
        <c:scaling>
          <c:orientation val="minMax"/>
          <c:max val="800"/>
        </c:scaling>
        <c:axPos val="l"/>
        <c:title>
          <c:tx>
            <c:rich>
              <a:bodyPr/>
              <a:lstStyle/>
              <a:p>
                <a:pPr>
                  <a:defRPr sz="1400"/>
                </a:pPr>
                <a:r>
                  <a:rPr lang="es-AR" sz="1400"/>
                  <a:t>miles</a:t>
                </a:r>
                <a:r>
                  <a:rPr lang="es-AR" sz="1400" baseline="0"/>
                  <a:t> de toneladas</a:t>
                </a:r>
                <a:endParaRPr lang="es-AR" sz="1400"/>
              </a:p>
            </c:rich>
          </c:tx>
        </c:title>
        <c:numFmt formatCode="0" sourceLinked="0"/>
        <c:majorTickMark val="none"/>
        <c:tickLblPos val="nextTo"/>
        <c:txPr>
          <a:bodyPr/>
          <a:lstStyle/>
          <a:p>
            <a:pPr>
              <a:defRPr sz="1200"/>
            </a:pPr>
            <a:endParaRPr lang="es-AR"/>
          </a:p>
        </c:txPr>
        <c:crossAx val="99916416"/>
        <c:crosses val="autoZero"/>
        <c:crossBetween val="between"/>
        <c:majorUnit val="200"/>
      </c:valAx>
      <c:valAx>
        <c:axId val="99928320"/>
        <c:scaling>
          <c:orientation val="minMax"/>
        </c:scaling>
        <c:axPos val="r"/>
        <c:numFmt formatCode="0" sourceLinked="0"/>
        <c:tickLblPos val="nextTo"/>
        <c:txPr>
          <a:bodyPr/>
          <a:lstStyle/>
          <a:p>
            <a:pPr>
              <a:defRPr sz="1200"/>
            </a:pPr>
            <a:endParaRPr lang="es-AR"/>
          </a:p>
        </c:txPr>
        <c:crossAx val="99930112"/>
        <c:crosses val="max"/>
        <c:crossBetween val="between"/>
        <c:majorUnit val="100"/>
      </c:valAx>
      <c:catAx>
        <c:axId val="99930112"/>
        <c:scaling>
          <c:orientation val="minMax"/>
        </c:scaling>
        <c:delete val="1"/>
        <c:axPos val="b"/>
        <c:numFmt formatCode="General" sourceLinked="1"/>
        <c:tickLblPos val="none"/>
        <c:crossAx val="99928320"/>
        <c:crosses val="autoZero"/>
        <c:auto val="1"/>
        <c:lblAlgn val="ctr"/>
        <c:lblOffset val="100"/>
      </c:catAx>
      <c:spPr>
        <a:noFill/>
        <a:ln>
          <a:solidFill>
            <a:prstClr val="black"/>
          </a:solidFill>
        </a:ln>
      </c:spPr>
    </c:plotArea>
    <c:legend>
      <c:legendPos val="b"/>
      <c:layout>
        <c:manualLayout>
          <c:xMode val="edge"/>
          <c:yMode val="edge"/>
          <c:x val="0.33952990940291994"/>
          <c:y val="0.81212623800652062"/>
          <c:w val="0.42788801842765189"/>
          <c:h val="3.6497621765616356E-2"/>
        </c:manualLayout>
      </c:layout>
      <c:txPr>
        <a:bodyPr/>
        <a:lstStyle/>
        <a:p>
          <a:pPr>
            <a:defRPr sz="1600"/>
          </a:pPr>
          <a:endParaRPr lang="es-AR"/>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0.0444</cdr:x>
      <cdr:y>0.92355</cdr:y>
    </cdr:from>
    <cdr:to>
      <cdr:x>0.57936</cdr:x>
      <cdr:y>0.98624</cdr:y>
    </cdr:to>
    <cdr:sp macro="" textlink="">
      <cdr:nvSpPr>
        <cdr:cNvPr id="2" name="1 CuadroTexto"/>
        <cdr:cNvSpPr txBox="1"/>
      </cdr:nvSpPr>
      <cdr:spPr>
        <a:xfrm xmlns:a="http://schemas.openxmlformats.org/drawingml/2006/main">
          <a:off x="384849" y="5811213"/>
          <a:ext cx="4637424" cy="3944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AR" sz="1100"/>
            <a:t>Fuente:</a:t>
          </a:r>
          <a:r>
            <a:rPr lang="es-AR" sz="1100" baseline="0"/>
            <a:t> Elaboración propia en base a datos del Ministerio de Agroindustria</a:t>
          </a:r>
          <a:endParaRPr lang="es-AR" sz="1100"/>
        </a:p>
      </cdr:txBody>
    </cdr:sp>
  </cdr:relSizeAnchor>
</c:userShapes>
</file>

<file path=word/drawings/drawing2.xml><?xml version="1.0" encoding="utf-8"?>
<c:userShapes xmlns:c="http://schemas.openxmlformats.org/drawingml/2006/chart">
  <cdr:relSizeAnchor xmlns:cdr="http://schemas.openxmlformats.org/drawingml/2006/chartDrawing">
    <cdr:from>
      <cdr:x>0.04107</cdr:x>
      <cdr:y>0.90214</cdr:y>
    </cdr:from>
    <cdr:to>
      <cdr:x>0.6182</cdr:x>
      <cdr:y>0.9526</cdr:y>
    </cdr:to>
    <cdr:sp macro="" textlink="">
      <cdr:nvSpPr>
        <cdr:cNvPr id="2" name="1 CuadroTexto"/>
        <cdr:cNvSpPr txBox="1"/>
      </cdr:nvSpPr>
      <cdr:spPr>
        <a:xfrm xmlns:a="http://schemas.openxmlformats.org/drawingml/2006/main">
          <a:off x="355985" y="5676515"/>
          <a:ext cx="5003030" cy="317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AR" sz="1100"/>
            <a:t>Fuente:</a:t>
          </a:r>
          <a:r>
            <a:rPr lang="es-AR" sz="1100" baseline="0"/>
            <a:t> Elaboración propia en base a datos del Ministerio de Agroindustria</a:t>
          </a:r>
          <a:endParaRPr lang="es-AR" sz="1100"/>
        </a:p>
      </cdr:txBody>
    </cdr:sp>
  </cdr:relSizeAnchor>
  <cdr:relSizeAnchor xmlns:cdr="http://schemas.openxmlformats.org/drawingml/2006/chartDrawing">
    <cdr:from>
      <cdr:x>0.0444</cdr:x>
      <cdr:y>0.92355</cdr:y>
    </cdr:from>
    <cdr:to>
      <cdr:x>0.57936</cdr:x>
      <cdr:y>0.98624</cdr:y>
    </cdr:to>
    <cdr:sp macro="" textlink="">
      <cdr:nvSpPr>
        <cdr:cNvPr id="3" name="1 CuadroTexto"/>
        <cdr:cNvSpPr txBox="1"/>
      </cdr:nvSpPr>
      <cdr:spPr>
        <a:xfrm xmlns:a="http://schemas.openxmlformats.org/drawingml/2006/main">
          <a:off x="384849" y="5811213"/>
          <a:ext cx="4637424" cy="3944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AR" sz="1100"/>
            <a:t>Fuente:</a:t>
          </a:r>
          <a:r>
            <a:rPr lang="es-AR" sz="1100" baseline="0"/>
            <a:t> Elaboración propia en base a datos del Ministerio de Agroindustria</a:t>
          </a:r>
          <a:endParaRPr lang="es-AR"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154</Words>
  <Characters>851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2016-11-09T22:48:00Z</dcterms:created>
  <dcterms:modified xsi:type="dcterms:W3CDTF">2016-11-09T23:11:00Z</dcterms:modified>
</cp:coreProperties>
</file>